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36"/>
          <w:szCs w:val="36"/>
        </w:rPr>
      </w:pPr>
      <w:r>
        <w:rPr>
          <w:rFonts w:cs="Arial" w:ascii="Arial" w:hAnsi="Arial"/>
          <w:sz w:val="36"/>
          <w:szCs w:val="36"/>
        </w:rPr>
        <w:t>Specyfikacja Warunków Zamówienia (SWZ)</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t>ZAMAWIAJĄCY</w:t>
      </w:r>
    </w:p>
    <w:p>
      <w:pPr>
        <w:pStyle w:val="Normal"/>
        <w:spacing w:lineRule="auto" w:line="360"/>
        <w:jc w:val="center"/>
        <w:rPr>
          <w:rFonts w:ascii="Arial" w:hAnsi="Arial" w:cs="Arial"/>
          <w:b/>
          <w:bCs/>
          <w:sz w:val="32"/>
          <w:szCs w:val="32"/>
        </w:rPr>
      </w:pPr>
      <w:r>
        <w:rPr>
          <w:rFonts w:cs="Arial" w:ascii="Arial" w:hAnsi="Arial"/>
          <w:b/>
          <w:bCs/>
          <w:sz w:val="32"/>
          <w:szCs w:val="32"/>
        </w:rPr>
        <w:t>Szpital Powiatowy im. Jana Pawła II w Trzciance</w:t>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Cs/>
          <w:color w:val="C9211E"/>
        </w:rPr>
      </w:pPr>
      <w:r>
        <w:rPr>
          <w:rFonts w:cs="Arial" w:ascii="Arial" w:hAnsi="Arial"/>
          <w:b/>
          <w:bCs/>
          <w:color w:val="C9211E"/>
        </w:rPr>
      </w:r>
    </w:p>
    <w:p>
      <w:pPr>
        <w:pStyle w:val="Normal"/>
        <w:spacing w:lineRule="auto" w:line="360"/>
        <w:jc w:val="center"/>
        <w:rPr>
          <w:color w:val="000000"/>
        </w:rPr>
      </w:pPr>
      <w:r>
        <w:rPr>
          <w:rFonts w:cs="Arial" w:ascii="Arial" w:hAnsi="Arial"/>
          <w:b/>
          <w:bCs/>
          <w:color w:val="000000"/>
          <w:sz w:val="36"/>
          <w:szCs w:val="36"/>
        </w:rPr>
        <w:t>„</w:t>
      </w:r>
      <w:r>
        <w:rPr>
          <w:rFonts w:cs="Arial" w:ascii="Arial" w:hAnsi="Arial"/>
          <w:b/>
          <w:bCs/>
          <w:color w:val="000000"/>
          <w:sz w:val="36"/>
          <w:szCs w:val="36"/>
        </w:rPr>
        <w:t>Żywienie dojelitowe i pozajelitowe</w:t>
      </w:r>
      <w:r>
        <w:rPr>
          <w:rFonts w:cs="Arial" w:ascii="Arial" w:hAnsi="Arial"/>
          <w:b/>
          <w:bCs/>
          <w:i/>
          <w:iCs/>
          <w:color w:val="000000"/>
          <w:sz w:val="32"/>
          <w:szCs w:val="32"/>
        </w:rPr>
        <w:t>”</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pPr>
      <w:r>
        <w:rPr>
          <w:rFonts w:cs="Arial" w:ascii="Arial" w:hAnsi="Arial"/>
        </w:rPr>
        <w:t>Nr referencyjny postępowania:</w:t>
      </w:r>
      <w:r>
        <w:rPr>
          <w:rFonts w:cs="Segoe UI" w:ascii="Segoe UI" w:hAnsi="Segoe UI"/>
        </w:rPr>
        <w:t xml:space="preserve"> 09</w:t>
      </w:r>
      <w:r>
        <w:rPr>
          <w:rFonts w:cs="Arial" w:ascii="Arial" w:hAnsi="Arial"/>
        </w:rPr>
        <w:t>/ZP/25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extDirection w:val="lrTb"/>
          <w:docGrid w:type="default" w:linePitch="360" w:charSpace="0"/>
        </w:sectPr>
        <w:pStyle w:val="Normal"/>
        <w:spacing w:lineRule="auto" w:line="360"/>
        <w:jc w:val="center"/>
        <w:rPr>
          <w:color w:val="000000"/>
        </w:rPr>
      </w:pPr>
      <w:r>
        <w:rPr>
          <w:rFonts w:cs="Arial" w:ascii="Arial" w:hAnsi="Arial"/>
          <w:color w:val="000000"/>
          <w:sz w:val="22"/>
          <w:szCs w:val="22"/>
        </w:rPr>
        <w:t>Trzcianka, dn. 18.06.2025 r.</w:t>
      </w:r>
    </w:p>
    <w:p>
      <w:pPr>
        <w:pStyle w:val="Normal"/>
        <w:numPr>
          <w:ilvl w:val="0"/>
          <w:numId w:val="12"/>
        </w:numPr>
        <w:spacing w:lineRule="auto" w:line="360"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cs="Arial"/>
          <w:bCs/>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cs="Arial"/>
          <w:bCs/>
          <w:sz w:val="22"/>
          <w:szCs w:val="22"/>
        </w:rPr>
      </w:pPr>
      <w:r>
        <w:rPr>
          <w:rFonts w:cs="Arial" w:ascii="Arial" w:hAnsi="Arial"/>
          <w:bCs/>
          <w:sz w:val="22"/>
          <w:szCs w:val="22"/>
        </w:rPr>
        <w:t>NIP: 763-14-39-453</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strony internetowej: www.szpital-trzcianka.pl</w:t>
      </w:r>
    </w:p>
    <w:p>
      <w:pPr>
        <w:pStyle w:val="Normal"/>
        <w:spacing w:lineRule="auto" w:line="360"/>
        <w:ind w:hanging="57" w:left="57"/>
        <w:jc w:val="both"/>
        <w:rPr>
          <w:b/>
          <w:bCs/>
          <w:sz w:val="22"/>
          <w:szCs w:val="22"/>
          <w:lang w:val="es-ES_tradnl"/>
        </w:rPr>
      </w:pPr>
      <w:r>
        <w:rPr>
          <w:rFonts w:cs="Arial" w:ascii="Arial" w:hAnsi="Arial"/>
          <w:bCs/>
          <w:sz w:val="22"/>
          <w:szCs w:val="22"/>
          <w:lang w:val="es-ES_tradnl"/>
        </w:rPr>
        <w:t>Telefon</w:t>
      </w:r>
      <w:r>
        <w:rPr>
          <w:rFonts w:cs="Arial" w:ascii="Arial" w:hAnsi="Arial"/>
          <w:b/>
          <w:bCs/>
          <w:sz w:val="22"/>
          <w:szCs w:val="22"/>
          <w:lang w:val="es-ES_tradnl"/>
        </w:rPr>
        <w:t>: 67 35 23 100, 67 35 23 281, 67 35 23 282</w:t>
      </w:r>
    </w:p>
    <w:p>
      <w:pPr>
        <w:pStyle w:val="Normal"/>
        <w:spacing w:lineRule="auto" w:line="360"/>
        <w:ind w:hanging="57" w:left="57"/>
        <w:jc w:val="both"/>
        <w:rPr>
          <w:color w:val="000000"/>
        </w:rPr>
      </w:pPr>
      <w:r>
        <w:rPr>
          <w:rFonts w:cs="Arial" w:ascii="Arial" w:hAnsi="Arial"/>
          <w:bCs/>
          <w:color w:val="000000"/>
          <w:sz w:val="22"/>
          <w:szCs w:val="22"/>
          <w:lang w:val="es-ES_tradnl"/>
        </w:rPr>
        <w:t>Adres e-mail: lebiodad@szpital-trzcianka.pl</w:t>
      </w:r>
    </w:p>
    <w:p>
      <w:pPr>
        <w:pStyle w:val="Normal"/>
        <w:spacing w:lineRule="auto" w:line="360"/>
        <w:jc w:val="both"/>
        <w:rPr>
          <w:rFonts w:ascii="Arial" w:hAnsi="Arial" w:cs="Arial"/>
          <w:bCs/>
          <w:sz w:val="22"/>
          <w:szCs w:val="22"/>
          <w:lang w:val="es-ES_tradnl"/>
        </w:rPr>
      </w:pPr>
      <w:r>
        <w:rPr>
          <w:rFonts w:cs="Arial" w:ascii="Arial" w:hAnsi="Arial"/>
          <w:bCs/>
          <w:sz w:val="22"/>
          <w:szCs w:val="22"/>
          <w:lang w:val="es-ES_tradnl"/>
        </w:rPr>
      </w:r>
    </w:p>
    <w:p>
      <w:pPr>
        <w:pStyle w:val="Normal"/>
        <w:spacing w:lineRule="auto" w:line="360"/>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z postępowaniem o udzielenie zamówienia: https://ezamowienia.gov.pl/mp-client/tenders/ocds-148610-4c189b18-7f23-4f7c-92b1-988843b04a04</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0"/>
          <w:numId w:val="30"/>
        </w:numPr>
        <w:spacing w:lineRule="auto" w:line="360"/>
        <w:jc w:val="both"/>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ListParagraph"/>
        <w:numPr>
          <w:ilvl w:val="0"/>
          <w:numId w:val="30"/>
        </w:numPr>
        <w:spacing w:lineRule="auto" w:line="360"/>
        <w:jc w:val="both"/>
        <w:rPr/>
      </w:pPr>
      <w:r>
        <w:rPr>
          <w:rFonts w:cs="Arial" w:ascii="Arial" w:hAnsi="Arial"/>
          <w:b/>
          <w:bCs/>
          <w:sz w:val="22"/>
          <w:szCs w:val="22"/>
        </w:rPr>
        <w:t>Prowadzenie procedury w przypadku fakultatywnych negocjacji</w:t>
      </w:r>
      <w:r>
        <w:rPr>
          <w:rFonts w:cs="Arial" w:ascii="Arial" w:hAnsi="Arial"/>
          <w:sz w:val="22"/>
          <w:szCs w:val="22"/>
        </w:rPr>
        <w:t xml:space="preserve">: </w:t>
      </w:r>
    </w:p>
    <w:p>
      <w:pPr>
        <w:pStyle w:val="ListParagraph"/>
        <w:numPr>
          <w:ilvl w:val="3"/>
          <w:numId w:val="31"/>
        </w:numPr>
        <w:suppressAutoHyphens w:val="false"/>
        <w:spacing w:lineRule="auto" w:line="360"/>
        <w:jc w:val="both"/>
        <w:rPr>
          <w:rFonts w:ascii="Arial" w:hAnsi="Arial" w:cs="Arial"/>
          <w:b/>
          <w:bCs/>
          <w:sz w:val="22"/>
          <w:szCs w:val="22"/>
        </w:rPr>
      </w:pPr>
      <w:r>
        <w:rPr>
          <w:rFonts w:cs="Arial" w:ascii="Arial" w:hAnsi="Arial"/>
          <w:sz w:val="22"/>
          <w:szCs w:val="22"/>
        </w:rPr>
        <w:t>Zamawiający przeprowadzi negocjacje z wszystkimi wykonawcami, którzy złożyli niepodlegające odrzuceniu oferty w odpowiedzi na ogłoszenie o zamówieniu.</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informuje, że negocjacje treści ofert:</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nie mogą prowadzić do zmiany treści SWZ,</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dotyczyć będą wyłącznie tych elementów treści ofert, które podlegają ocenie w ramach kryteriów oceny ofert.</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nie udziela informacji w sposób, który mógłby zapewnić niektórym wykonawcom przewagę nad innymi wykonawcami.</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OPIS PRZEDMIOTU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Przedmiotem zamówienia jest sukcesywna dostawa żywienia dojelitowego                              i pozajelitowego na potrzeby Szpitala Powiatowego im. Jana Pawła II w Trzciance. </w:t>
      </w:r>
    </w:p>
    <w:p>
      <w:pPr>
        <w:pStyle w:val="Normal"/>
        <w:numPr>
          <w:ilvl w:val="1"/>
          <w:numId w:val="12"/>
        </w:numPr>
        <w:spacing w:lineRule="auto" w:line="360"/>
        <w:ind w:hanging="426" w:left="426"/>
        <w:jc w:val="both"/>
        <w:rPr>
          <w:color w:val="000000"/>
        </w:rPr>
      </w:pPr>
      <w:r>
        <w:rPr>
          <w:rFonts w:cs="Arial" w:ascii="Arial" w:hAnsi="Arial"/>
          <w:color w:val="000000"/>
          <w:sz w:val="22"/>
          <w:szCs w:val="22"/>
        </w:rPr>
        <w:t>Przedmiot zamówienia został podzielony na następujące części:</w:t>
      </w:r>
    </w:p>
    <w:p>
      <w:pPr>
        <w:pStyle w:val="Normal"/>
        <w:spacing w:lineRule="auto" w:line="360"/>
        <w:ind w:left="426"/>
        <w:jc w:val="both"/>
        <w:rPr>
          <w:color w:val="000000"/>
        </w:rPr>
      </w:pPr>
      <w:r>
        <w:rPr>
          <w:rFonts w:cs="Arial" w:ascii="Arial" w:hAnsi="Arial"/>
          <w:color w:val="000000"/>
          <w:sz w:val="22"/>
          <w:szCs w:val="22"/>
        </w:rPr>
        <w:t>Część nr 1 – żywienie dojelitowe</w:t>
      </w:r>
    </w:p>
    <w:p>
      <w:pPr>
        <w:pStyle w:val="Normal"/>
        <w:spacing w:lineRule="auto" w:line="360"/>
        <w:ind w:left="426"/>
        <w:jc w:val="both"/>
        <w:rPr>
          <w:color w:val="000000"/>
        </w:rPr>
      </w:pPr>
      <w:r>
        <w:rPr>
          <w:rFonts w:cs="Arial" w:ascii="Arial" w:hAnsi="Arial"/>
          <w:color w:val="000000"/>
          <w:sz w:val="22"/>
          <w:szCs w:val="22"/>
        </w:rPr>
        <w:t>Część nr 2 – żywienie pozajelitowe</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Opis przedmiotu zamówienia znajduje się w załąc</w:t>
      </w:r>
      <w:r>
        <w:rPr>
          <w:rFonts w:cs="Arial" w:ascii="Arial" w:hAnsi="Arial"/>
          <w:color w:val="000000"/>
          <w:sz w:val="22"/>
          <w:szCs w:val="22"/>
        </w:rPr>
        <w:t>zniku nr 2 do SWZ.</w:t>
      </w:r>
    </w:p>
    <w:p>
      <w:pPr>
        <w:pStyle w:val="Normal"/>
        <w:spacing w:lineRule="auto" w:line="360"/>
        <w:ind w:left="426"/>
        <w:jc w:val="both"/>
        <w:rPr>
          <w:rFonts w:ascii="Arial" w:hAnsi="Arial" w:cs="Arial"/>
          <w:sz w:val="22"/>
          <w:szCs w:val="22"/>
        </w:rPr>
      </w:pPr>
      <w:r>
        <w:rPr>
          <w:rFonts w:cs="Arial" w:ascii="Arial" w:hAnsi="Arial"/>
          <w:sz w:val="22"/>
          <w:szCs w:val="22"/>
        </w:rPr>
        <w:t>Sposób realizacji zamówienia został również określony we wzorze umowy, który stanowi załącznik nr 5 do SWZ.</w:t>
      </w:r>
    </w:p>
    <w:p>
      <w:pPr>
        <w:pStyle w:val="Normal"/>
        <w:numPr>
          <w:ilvl w:val="1"/>
          <w:numId w:val="12"/>
        </w:numPr>
        <w:spacing w:lineRule="auto" w:line="360"/>
        <w:ind w:hanging="426" w:left="426"/>
        <w:jc w:val="both"/>
        <w:rPr>
          <w:color w:val="000000"/>
        </w:rPr>
      </w:pP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powinien posiadać zezwolenie na prowadzenie działalności uprawniające do obrotu produktami medycznymi. </w:t>
      </w:r>
    </w:p>
    <w:p>
      <w:pPr>
        <w:pStyle w:val="Normal"/>
        <w:numPr>
          <w:ilvl w:val="1"/>
          <w:numId w:val="12"/>
        </w:numPr>
        <w:spacing w:lineRule="auto" w:line="360" w:before="0" w:after="240"/>
        <w:ind w:hanging="426" w:left="426"/>
        <w:jc w:val="both"/>
        <w:rPr>
          <w:rFonts w:ascii="Arial" w:hAnsi="Arial" w:cs="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33692510-5</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lang w:val="pl-PL" w:eastAsia="pl-PL" w:bidi="ar-SA"/>
              </w:rPr>
            </w:pPr>
            <w:r>
              <w:rPr>
                <w:rFonts w:eastAsia="Times New Roman" w:cs="Arial" w:ascii="Arial" w:hAnsi="Arial"/>
                <w:kern w:val="0"/>
                <w:sz w:val="20"/>
                <w:szCs w:val="20"/>
                <w:lang w:val="pl-PL" w:eastAsia="pl-PL" w:bidi="ar-SA"/>
              </w:rPr>
              <w:t>preparaty odżywiania wewnątrzjelitowego</w:t>
            </w:r>
          </w:p>
        </w:tc>
      </w:tr>
      <w:tr>
        <w:trPr>
          <w:trHeight w:val="447"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33692210-2</w:t>
            </w:r>
          </w:p>
        </w:tc>
        <w:tc>
          <w:tcPr>
            <w:tcW w:w="4818" w:type="dxa"/>
            <w:tcBorders/>
            <w:vAlign w:val="center"/>
          </w:tcPr>
          <w:p>
            <w:pPr>
              <w:pStyle w:val="Normal"/>
              <w:widowControl w:val="false"/>
              <w:suppressAutoHyphens w:val="true"/>
              <w:spacing w:lineRule="auto" w:line="276" w:before="0" w:after="0"/>
              <w:jc w:val="left"/>
              <w:rPr>
                <w:rFonts w:eastAsia="Times New Roman" w:cs="Times New Roman"/>
                <w:kern w:val="0"/>
                <w:lang w:val="pl-PL" w:eastAsia="pl-PL" w:bidi="ar-SA"/>
              </w:rPr>
            </w:pPr>
            <w:r>
              <w:rPr>
                <w:rFonts w:eastAsia="Times New Roman" w:cs="Arial" w:ascii="Arial" w:hAnsi="Arial"/>
                <w:kern w:val="0"/>
                <w:sz w:val="20"/>
                <w:szCs w:val="20"/>
                <w:lang w:val="pl-PL" w:eastAsia="pl-PL" w:bidi="ar-SA"/>
              </w:rPr>
              <w:t>preparaty odżywiania pozajelitowego</w:t>
            </w:r>
          </w:p>
        </w:tc>
      </w:tr>
    </w:tbl>
    <w:p>
      <w:pPr>
        <w:pStyle w:val="Normal"/>
        <w:numPr>
          <w:ilvl w:val="1"/>
          <w:numId w:val="12"/>
        </w:numPr>
        <w:spacing w:lineRule="auto" w:line="360" w:before="240" w:after="0"/>
        <w:ind w:hanging="426" w:left="426"/>
        <w:jc w:val="both"/>
        <w:rPr>
          <w:rFonts w:ascii="Arial" w:hAnsi="Arial" w:cs="Arial"/>
          <w:b/>
          <w:bCs/>
          <w:sz w:val="22"/>
          <w:szCs w:val="22"/>
        </w:rPr>
      </w:pPr>
      <w:r>
        <w:rPr>
          <w:rFonts w:cs="Arial" w:ascii="Arial" w:hAnsi="Arial"/>
          <w:b/>
          <w:bCs/>
          <w:sz w:val="22"/>
          <w:szCs w:val="22"/>
        </w:rPr>
        <w:t>Podział zamówienia na części:</w:t>
      </w:r>
    </w:p>
    <w:p>
      <w:pPr>
        <w:pStyle w:val="Normal"/>
        <w:spacing w:lineRule="auto" w:line="360"/>
        <w:ind w:left="426"/>
        <w:jc w:val="both"/>
        <w:rPr>
          <w:rFonts w:ascii="Arial" w:hAnsi="Arial" w:cs="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ind w:left="426"/>
        <w:jc w:val="both"/>
        <w:rPr>
          <w:rFonts w:ascii="Arial" w:hAnsi="Arial" w:cs="Arial"/>
          <w:sz w:val="22"/>
          <w:szCs w:val="22"/>
        </w:rPr>
      </w:pPr>
      <w:r>
        <w:rPr>
          <w:rFonts w:cs="Arial" w:ascii="Arial" w:hAnsi="Arial"/>
          <w:sz w:val="22"/>
          <w:szCs w:val="22"/>
        </w:rPr>
        <w:t>Zamawiający nie określa maksymalnej liczby części, na które może zostać udzielone</w:t>
      </w:r>
    </w:p>
    <w:p>
      <w:pPr>
        <w:pStyle w:val="Normal"/>
        <w:spacing w:lineRule="auto" w:line="360"/>
        <w:ind w:left="426"/>
        <w:jc w:val="both"/>
        <w:rPr>
          <w:rFonts w:ascii="Arial" w:hAnsi="Arial" w:cs="Arial"/>
          <w:sz w:val="22"/>
          <w:szCs w:val="22"/>
        </w:rPr>
      </w:pPr>
      <w:r>
        <w:rPr>
          <w:rFonts w:cs="Arial" w:ascii="Arial" w:hAnsi="Arial"/>
          <w:sz w:val="22"/>
          <w:szCs w:val="22"/>
        </w:rPr>
        <w:t>zamówienie jednemu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WIZJA LOKALNA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color w:themeColor="text1" w:val="000000"/>
          <w:sz w:val="22"/>
          <w:szCs w:val="22"/>
        </w:rPr>
      </w:pPr>
      <w:r>
        <w:rPr>
          <w:rFonts w:cs="Arial" w:ascii="Arial" w:hAnsi="Arial"/>
          <w:color w:themeColor="text1" w:val="000000"/>
          <w:sz w:val="22"/>
          <w:szCs w:val="22"/>
        </w:rPr>
        <w:t xml:space="preserve"> </w:t>
      </w:r>
      <w:r>
        <w:rPr>
          <w:rFonts w:cs="Arial" w:ascii="Arial" w:hAnsi="Arial"/>
          <w:color w:themeColor="text1" w:val="000000"/>
          <w:sz w:val="22"/>
          <w:szCs w:val="22"/>
        </w:rPr>
        <w:t>Zamawiający nie przewiduje wizji lokalnej.</w:t>
      </w:r>
    </w:p>
    <w:p>
      <w:pPr>
        <w:pStyle w:val="ListParagraph"/>
        <w:spacing w:lineRule="auto" w:line="360"/>
        <w:ind w:left="360"/>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rPr>
        <w:t xml:space="preserve">  </w:t>
      </w:r>
      <w:r>
        <w:rPr>
          <w:rFonts w:cs="Arial" w:ascii="Arial" w:hAnsi="Arial"/>
        </w:rPr>
        <w:tab/>
      </w:r>
      <w:r>
        <w:rPr>
          <w:rFonts w:cs="Arial" w:ascii="Arial" w:hAnsi="Arial"/>
          <w:b/>
          <w:bCs/>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Szczegółowe postanowienia odnoszące się do podwykonawców zostały określone we wzorze umowy stanowiącym załącznik nr 5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TERMIN WYKONANIA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Termin realizacji zamówienia dla każdej z Częśc</w:t>
      </w:r>
      <w:r>
        <w:rPr>
          <w:rFonts w:cs="Arial" w:ascii="Arial" w:hAnsi="Arial"/>
          <w:color w:val="000000"/>
          <w:sz w:val="22"/>
          <w:szCs w:val="22"/>
        </w:rPr>
        <w:t>i</w:t>
      </w:r>
      <w:r>
        <w:rPr>
          <w:rFonts w:cs="Arial" w:ascii="Arial" w:hAnsi="Arial"/>
          <w:b/>
          <w:bCs/>
          <w:color w:val="000000"/>
          <w:sz w:val="22"/>
          <w:szCs w:val="22"/>
        </w:rPr>
        <w:t>: 24 miesiące od dnia zawarcia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Szczegółowe zagadnienia dotyczące terminu realizacji zamówienia uregulowane</w:t>
        <w:br/>
        <w:t>są we wzorze umowy stanowiącym załącznik nr 5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WARUNKI UDZIAŁU W POSTĘPOWANIU</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zdolności do występowania w obrocie gospodarczym:</w:t>
      </w:r>
    </w:p>
    <w:p>
      <w:pPr>
        <w:pStyle w:val="Normal"/>
        <w:spacing w:lineRule="auto" w:line="360"/>
        <w:ind w:left="709"/>
        <w:jc w:val="both"/>
        <w:rPr>
          <w:color w:val="000000"/>
        </w:rPr>
      </w:pPr>
      <w:r>
        <w:rPr>
          <w:rFonts w:cs="Arial" w:ascii="Arial" w:hAnsi="Arial"/>
          <w:color w:val="000000"/>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uprawnień do prowadzenia określonej działalności gospodarczej lub zawodowej, o ile wynika to z odrębnych przepisów:</w:t>
      </w:r>
    </w:p>
    <w:p>
      <w:pPr>
        <w:pStyle w:val="ListParagraph"/>
        <w:spacing w:lineRule="auto" w:line="360"/>
        <w:ind w:left="720"/>
        <w:jc w:val="both"/>
        <w:rPr>
          <w:color w:val="000000"/>
        </w:rPr>
      </w:pPr>
      <w:r>
        <w:rPr>
          <w:rFonts w:cs="Arial" w:ascii="Arial" w:hAnsi="Arial"/>
          <w:color w:val="000000"/>
          <w:sz w:val="22"/>
          <w:szCs w:val="22"/>
        </w:rPr>
        <w:t xml:space="preserve">Wykonawca spełni warunek, jeżeli wykaże, że posiada </w:t>
      </w:r>
      <w:r>
        <w:rPr>
          <w:rFonts w:cs="Arial" w:ascii="Arial" w:hAnsi="Arial"/>
          <w:bCs/>
          <w:color w:val="000000"/>
          <w:sz w:val="22"/>
          <w:szCs w:val="22"/>
        </w:rPr>
        <w:t xml:space="preserve">zezwolenie </w:t>
      </w:r>
      <w:r>
        <w:rPr>
          <w:rFonts w:cs="Arial" w:ascii="Arial" w:hAnsi="Arial"/>
          <w:color w:val="000000"/>
          <w:sz w:val="22"/>
          <w:szCs w:val="22"/>
        </w:rPr>
        <w:t xml:space="preserve">na prowadzenie hurtowni farmaceutycznej produktów leczniczych lub inny dokument uprawniający Wykonawcę do obrotu i sprzedaży produktów leczniczych, zgodnie z ustawą z dnia 6 września 2021 r. Prawo farmaceutyczne (Dz. U. z 2024 r. poz. 686 ze zm.). </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sytuacji ekonomicznej lub finansowej:</w:t>
      </w:r>
    </w:p>
    <w:p>
      <w:pPr>
        <w:pStyle w:val="Normal"/>
        <w:spacing w:lineRule="auto" w:line="360"/>
        <w:ind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zdolności technicznej lub zawodowej:</w:t>
      </w:r>
    </w:p>
    <w:p>
      <w:pPr>
        <w:pStyle w:val="ListParagraph"/>
        <w:spacing w:lineRule="auto" w:line="360"/>
        <w:ind w:left="720"/>
        <w:jc w:val="both"/>
        <w:rPr>
          <w:color w:val="000000"/>
        </w:rPr>
      </w:pPr>
      <w:r>
        <w:rPr>
          <w:rFonts w:cs="Arial" w:ascii="Arial" w:hAnsi="Arial"/>
          <w:color w:val="000000"/>
          <w:sz w:val="22"/>
          <w:szCs w:val="22"/>
        </w:rPr>
        <w:t>Zamawiający nie stawia warunku w powyższym zakresie;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cs="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Arial" w:hAnsi="Arial" w:cs="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cs="Arial"/>
          <w:b/>
          <w:bCs/>
          <w:i/>
          <w:i/>
          <w:iCs/>
          <w:sz w:val="22"/>
          <w:szCs w:val="22"/>
        </w:rPr>
      </w:pPr>
      <w:r>
        <w:rPr>
          <w:rFonts w:cs="Arial" w:ascii="Arial" w:hAnsi="Arial"/>
          <w:b/>
          <w:bCs/>
          <w:i/>
          <w:iCs/>
          <w:sz w:val="22"/>
          <w:szCs w:val="22"/>
        </w:rPr>
        <w:t>UWAGA!</w:t>
      </w:r>
    </w:p>
    <w:p>
      <w:pPr>
        <w:pStyle w:val="Normal"/>
        <w:spacing w:lineRule="auto" w:line="360"/>
        <w:jc w:val="both"/>
        <w:rPr>
          <w:rFonts w:ascii="Arial" w:hAnsi="Arial" w:cs="Arial"/>
          <w:i/>
          <w:i/>
          <w:iCs/>
          <w:sz w:val="22"/>
          <w:szCs w:val="22"/>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3 i 4 do SWZ.</w:t>
      </w:r>
    </w:p>
    <w:p>
      <w:pPr>
        <w:pStyle w:val="Normal"/>
        <w:spacing w:lineRule="auto" w:line="360"/>
        <w:ind w:left="454"/>
        <w:jc w:val="both"/>
        <w:rPr>
          <w:rFonts w:ascii="Arial" w:hAnsi="Arial" w:cs="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cs="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Arial" w:hAnsi="Arial" w:cs="Arial"/>
          <w:b/>
          <w:bCs/>
          <w:sz w:val="22"/>
          <w:szCs w:val="22"/>
        </w:rPr>
      </w:pPr>
      <w:r>
        <w:rPr>
          <w:rFonts w:cs="Arial" w:ascii="Arial" w:hAnsi="Arial"/>
          <w:b/>
          <w:bCs/>
          <w:sz w:val="22"/>
          <w:szCs w:val="22"/>
        </w:rPr>
        <w:t>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02" w:left="1134"/>
        <w:jc w:val="both"/>
        <w:rPr>
          <w:color w:val="000000"/>
        </w:rPr>
      </w:pPr>
      <w:r>
        <w:rPr>
          <w:rFonts w:cs="Arial" w:ascii="Arial" w:hAnsi="Arial"/>
          <w:color w:val="000000"/>
          <w:sz w:val="22"/>
          <w:szCs w:val="22"/>
          <w:shd w:fill="FFFFFF" w:val="clear"/>
        </w:rPr>
        <w:t>dokument potwierdzający posiadanie zezwolenia na prowadzenie hurtowni farmaceutycznej produktów leczniczych lub inny dokument uprawniający Wykonawcę do obrotu i sprzedaży produktów leczniczych, zgodnie z ustawą z dnia 6 września 2021 r. Prawo farmaceutyczne (Dz. U. z 2024 r. poz. 686 ze zm.).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Wykonawca nie jest zobowiązany do złożenia podmiotowych środków dowodowych, które Zamawiający posiada, jeżeli wykonawca </w:t>
      </w:r>
      <w:r>
        <w:rPr>
          <w:rFonts w:cs="Arial" w:ascii="Arial" w:hAnsi="Arial"/>
          <w:b/>
          <w:bCs/>
          <w:sz w:val="22"/>
          <w:szCs w:val="22"/>
        </w:rPr>
        <w:t>wskaże te środki oraz potwierdzi ich prawidłowość i aktualność.</w:t>
      </w:r>
    </w:p>
    <w:p>
      <w:pPr>
        <w:pStyle w:val="Normal"/>
        <w:spacing w:lineRule="auto" w:line="360"/>
        <w:ind w:hanging="426" w:left="426"/>
        <w:jc w:val="both"/>
        <w:rPr>
          <w:rFonts w:ascii="Arial" w:hAnsi="Arial" w:cs="Arial"/>
          <w:b/>
          <w:bCs/>
          <w:sz w:val="22"/>
          <w:szCs w:val="22"/>
        </w:rPr>
      </w:pPr>
      <w:r>
        <w:rPr>
          <w:rFonts w:cs="Arial" w:ascii="Arial" w:hAnsi="Arial"/>
          <w:b/>
          <w:bCs/>
          <w:sz w:val="22"/>
          <w:szCs w:val="22"/>
        </w:rPr>
      </w:r>
    </w:p>
    <w:p>
      <w:pPr>
        <w:pStyle w:val="Normal"/>
        <w:spacing w:lineRule="auto" w:line="360"/>
        <w:ind w:hanging="426" w:left="426"/>
        <w:jc w:val="both"/>
        <w:rPr>
          <w:rFonts w:ascii="Arial" w:hAnsi="Arial" w:cs="Arial"/>
          <w:b/>
          <w:bCs/>
          <w:sz w:val="22"/>
          <w:szCs w:val="22"/>
        </w:rPr>
      </w:pPr>
      <w:r>
        <w:rPr>
          <w:rFonts w:cs="Arial" w:ascii="Arial" w:hAnsi="Arial"/>
          <w:b/>
          <w:bCs/>
          <w:sz w:val="22"/>
          <w:szCs w:val="22"/>
        </w:rPr>
      </w:r>
    </w:p>
    <w:p>
      <w:pPr>
        <w:pStyle w:val="Normal"/>
        <w:spacing w:lineRule="auto" w:line="360"/>
        <w:ind w:left="567"/>
        <w:jc w:val="both"/>
        <w:rPr>
          <w:rFonts w:ascii="Arial" w:hAnsi="Arial" w:cs="Arial"/>
          <w:b/>
          <w:bCs/>
        </w:rPr>
      </w:pPr>
      <w:r>
        <w:rPr>
          <w:rFonts w:cs="Arial" w:ascii="Arial" w:hAnsi="Arial"/>
          <w:b/>
          <w:bCs/>
        </w:rPr>
      </w:r>
    </w:p>
    <w:p>
      <w:pPr>
        <w:pStyle w:val="Normal"/>
        <w:numPr>
          <w:ilvl w:val="0"/>
          <w:numId w:val="12"/>
        </w:numPr>
        <w:spacing w:lineRule="auto" w:line="360"/>
        <w:ind w:hanging="567" w:left="567"/>
        <w:jc w:val="both"/>
        <w:rPr>
          <w:rFonts w:ascii="Arial" w:hAnsi="Arial" w:cs="Arial"/>
          <w:b/>
          <w:bCs/>
        </w:rPr>
      </w:pPr>
      <w:r>
        <w:rPr>
          <w:rFonts w:cs="Arial" w:ascii="Arial" w:hAnsi="Arial"/>
          <w:b/>
          <w:bCs/>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cs="Arial"/>
          <w:b/>
          <w:bCs/>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Zobowiązanie podmiotu udostępniającego zasoby potwierdza, że stosunek łączący wykonawcę z podmiotami udostępniającymi zasoby gwarantuje rzeczywisty dostęp</w:t>
        <w:br/>
        <w:t>do tych zasobów oraz określa w szczególności:</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zakres dostępnych wykonawcy zasobów podmiotu udostępniającego zasoby;</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rPr>
          <w:rFonts w:ascii="Arial" w:hAnsi="Arial" w:cs="Arial"/>
          <w:b/>
          <w:bCs/>
          <w:sz w:val="22"/>
          <w:szCs w:val="22"/>
        </w:rPr>
      </w:pPr>
      <w:r>
        <w:rPr>
          <w:rFonts w:eastAsia="Verdana" w:cs="Arial"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cs="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cs="Arial"/>
          <w:b/>
          <w:bCs/>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wykonawców wspólnie ubiegających się o udzielenie zamówienia:</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1" w:name="bookmark11"/>
    </w:p>
    <w:p>
      <w:pPr>
        <w:pStyle w:val="ListParagraph"/>
        <w:spacing w:lineRule="auto" w:line="360"/>
        <w:ind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1"/>
      <w:r>
        <w:rPr>
          <w:rFonts w:cs="Arial" w:ascii="Arial" w:hAnsi="Arial"/>
          <w:b/>
          <w:bCs/>
          <w:sz w:val="22"/>
          <w:szCs w:val="22"/>
        </w:rPr>
        <w:t>WYMAGANIA TECHNICZNE I ORGANIZACYJNE SPORZĄDZANIA, WYSYŁANIA I ODBIERANIA KORESPONDENCJI ELEKTRONICZNEJ</w:t>
      </w:r>
      <w:bookmarkStart w:id="2" w:name="bookmark12"/>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Korzystanie z Platformy e-Zamówienia jest bezpłatne.</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left="426"/>
        <w:jc w:val="both"/>
        <w:rPr>
          <w:rFonts w:ascii="Arial" w:hAnsi="Arial" w:cs="Arial"/>
          <w:sz w:val="22"/>
          <w:szCs w:val="22"/>
          <w:lang w:val="es-ES_tradnl"/>
        </w:rPr>
      </w:pPr>
      <w:r>
        <w:rPr>
          <w:rFonts w:cs="Arial" w:ascii="Arial" w:hAnsi="Arial"/>
          <w:sz w:val="22"/>
          <w:szCs w:val="22"/>
        </w:rPr>
        <w:t>Dominika Lebioda</w:t>
      </w:r>
      <w:r>
        <w:rPr>
          <w:rFonts w:cs="Arial" w:ascii="Arial" w:hAnsi="Arial"/>
          <w:sz w:val="22"/>
          <w:szCs w:val="22"/>
          <w:lang w:val="es-ES_tradnl"/>
        </w:rPr>
        <w:t xml:space="preserve"> </w:t>
      </w:r>
    </w:p>
    <w:p>
      <w:pPr>
        <w:pStyle w:val="Normal"/>
        <w:numPr>
          <w:ilvl w:val="1"/>
          <w:numId w:val="29"/>
        </w:numPr>
        <w:spacing w:lineRule="auto" w:line="360"/>
        <w:ind w:hanging="425" w:left="425"/>
        <w:jc w:val="both"/>
        <w:rPr>
          <w:color w:val="000000"/>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rPr>
        <w:t xml:space="preserve"> https://ezamowienia.gov.pl/mp-client/tenders/ocds-148610-4c189b18-7f23-4f7c-92b1-988843b04a04</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ascii="Arial" w:hAnsi="Arial"/>
          <w:color w:val="000000"/>
          <w:sz w:val="22"/>
          <w:szCs w:val="22"/>
        </w:rPr>
        <w:t>Identyfikator (ID) postępowania na Platformie e-Zamówienia:</w:t>
      </w:r>
    </w:p>
    <w:p>
      <w:pPr>
        <w:pStyle w:val="Normal"/>
        <w:numPr>
          <w:ilvl w:val="0"/>
          <w:numId w:val="0"/>
        </w:numPr>
        <w:spacing w:lineRule="auto" w:line="360"/>
        <w:ind w:hanging="0" w:left="425"/>
        <w:jc w:val="both"/>
        <w:rPr>
          <w:color w:val="000000"/>
        </w:rPr>
      </w:pPr>
      <w:r>
        <w:rPr>
          <w:rFonts w:cs="Arial" w:ascii="Arial" w:hAnsi="Arial"/>
          <w:color w:val="000000"/>
          <w:sz w:val="22"/>
          <w:szCs w:val="22"/>
        </w:rPr>
        <w:t xml:space="preserve"> </w:t>
      </w:r>
      <w:r>
        <w:rPr>
          <w:rFonts w:cs="Arial" w:ascii="Arial" w:hAnsi="Arial"/>
          <w:color w:val="000000"/>
          <w:sz w:val="22"/>
          <w:szCs w:val="22"/>
        </w:rPr>
        <w:t xml:space="preserve">ocds-148610-4c189b18-7f23-4f7c-92b1-988843b04a04 </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Arial" w:hAnsi="Arial" w:cs="Arial"/>
          <w:sz w:val="22"/>
          <w:szCs w:val="22"/>
        </w:rPr>
      </w:pPr>
      <w:r>
        <w:rPr>
          <w:rFonts w:cs="Arial" w:ascii="Arial" w:hAnsi="Arial"/>
          <w:sz w:val="22"/>
          <w:szCs w:val="22"/>
        </w:rPr>
        <w:t>Zamawiający zaleca następujący format przesyłanych danych: .pdf.</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Arial" w:hAnsi="Arial" w:cs="Arial"/>
          <w:b/>
          <w:bCs/>
          <w:sz w:val="22"/>
          <w:szCs w:val="22"/>
        </w:rPr>
      </w:pPr>
      <w:r>
        <w:rPr>
          <w:rFonts w:cs="Arial" w:ascii="Arial" w:hAnsi="Arial"/>
          <w:sz w:val="22"/>
          <w:szCs w:val="22"/>
        </w:rPr>
        <w:t>lub</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Złożenie oferty:</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Oferta może być złożona tylko do upływu terminu składania ofert.</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rFonts w:ascii="Arial" w:hAnsi="Arial" w:cs="Arial"/>
          <w:sz w:val="22"/>
          <w:szCs w:val="22"/>
        </w:rPr>
      </w:pPr>
      <w:bookmarkStart w:id="3" w:name="_Hlk63153114"/>
      <w:r>
        <w:rPr>
          <w:rFonts w:cs="Arial" w:ascii="Arial" w:hAnsi="Arial"/>
          <w:sz w:val="22"/>
          <w:szCs w:val="22"/>
        </w:rPr>
        <w:t>Maksymalny łączny rozmiar plików stanowiących ofertę lub składanych wraz z ofertą to 250 MB.</w:t>
      </w:r>
      <w:bookmarkEnd w:id="3"/>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OPIS SPOSOBU PRZYGOTOWANIA OFER</w:t>
      </w:r>
      <w:bookmarkEnd w:id="2"/>
      <w:r>
        <w:rPr>
          <w:rFonts w:cs="Arial" w:ascii="Arial" w:hAnsi="Arial"/>
          <w:b/>
          <w:bCs/>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cs="Arial"/>
          <w:b/>
          <w:bCs/>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pPr>
      <w:r>
        <w:rPr>
          <w:rFonts w:cs="Arial" w:ascii="Arial" w:hAnsi="Arial"/>
          <w:b/>
          <w:bCs/>
          <w:color w:val="000000"/>
          <w:sz w:val="22"/>
          <w:szCs w:val="22"/>
        </w:rPr>
        <w:t>formularz opis przedmiotu zamówienia/ formularz asortymentowo-cenowy</w:t>
      </w:r>
      <w:r>
        <w:rPr>
          <w:rFonts w:cs="Arial" w:ascii="Arial" w:hAnsi="Arial"/>
          <w:color w:val="000000"/>
          <w:sz w:val="22"/>
          <w:szCs w:val="22"/>
        </w:rPr>
        <w:t xml:space="preserve"> - według wzoru stanowiącego załącznik nr 2 do SWZ</w:t>
      </w:r>
    </w:p>
    <w:p>
      <w:pPr>
        <w:pStyle w:val="ListParagraph"/>
        <w:numPr>
          <w:ilvl w:val="2"/>
          <w:numId w:val="16"/>
        </w:numPr>
        <w:spacing w:lineRule="auto" w:line="360" w:before="0" w:after="0"/>
        <w:ind w:hanging="284" w:left="851"/>
        <w:contextualSpacing/>
        <w:jc w:val="both"/>
        <w:rPr>
          <w:rFonts w:ascii="Arial" w:hAnsi="Arial" w:cs="Arial"/>
          <w:b/>
          <w:bCs/>
          <w:color w:themeColor="text1" w:val="000000"/>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3 i 4 do SWZ,</w:t>
      </w:r>
      <w:r>
        <w:rPr>
          <w:rFonts w:cs="Arial" w:ascii="Arial" w:hAnsi="Arial"/>
          <w:bCs/>
          <w:color w:val="000000"/>
          <w:sz w:val="22"/>
          <w:szCs w:val="22"/>
        </w:rPr>
        <w:t xml:space="preserve"> </w:t>
      </w:r>
    </w:p>
    <w:p>
      <w:pPr>
        <w:pStyle w:val="ListParagraph"/>
        <w:numPr>
          <w:ilvl w:val="1"/>
          <w:numId w:val="16"/>
        </w:numPr>
        <w:spacing w:lineRule="auto" w:line="360" w:before="0" w:after="0"/>
        <w:ind w:hanging="426" w:left="426"/>
        <w:contextualSpacing/>
        <w:jc w:val="both"/>
        <w:rPr>
          <w:rFonts w:ascii="Arial" w:hAnsi="Arial" w:cs="Arial"/>
          <w:b/>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WADIUM</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sz w:val="22"/>
          <w:szCs w:val="22"/>
        </w:rPr>
        <w:t>Zamawiający nie wymaga wniesienia wadium w przedmiotowym postępowaniu.</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podaje cenę za realizację przedmiotu zamówienia zgodnie ze wzorem formularza ofertowego, stanowiącego załącznik nr 1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cs="Arial"/>
          <w:b/>
          <w:bCs/>
        </w:rPr>
      </w:pPr>
      <w:r>
        <w:rPr>
          <w:rFonts w:cs="Arial" w:ascii="Arial" w:hAnsi="Arial"/>
          <w:b/>
          <w:bCs/>
        </w:rPr>
        <w:t xml:space="preserve"> </w:t>
      </w:r>
      <w:r>
        <w:rPr>
          <w:rFonts w:cs="Arial" w:ascii="Arial" w:hAnsi="Arial"/>
          <w:b/>
          <w:bCs/>
        </w:rPr>
        <w:tab/>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będzie związany ofertą do dn</w:t>
      </w:r>
      <w:r>
        <w:rPr>
          <w:rFonts w:cs="Arial" w:ascii="Arial" w:hAnsi="Arial"/>
          <w:color w:val="000000"/>
          <w:sz w:val="22"/>
          <w:szCs w:val="22"/>
        </w:rPr>
        <w:t xml:space="preserve">ia </w:t>
      </w:r>
      <w:r>
        <w:rPr>
          <w:rFonts w:cs="Arial" w:ascii="Arial" w:hAnsi="Arial"/>
          <w:b/>
          <w:bCs/>
          <w:color w:val="000000"/>
          <w:sz w:val="22"/>
          <w:szCs w:val="22"/>
        </w:rPr>
        <w:t>25.07.2025 r</w:t>
      </w:r>
      <w:r>
        <w:rPr>
          <w:rFonts w:cs="Arial" w:ascii="Arial" w:hAnsi="Arial"/>
          <w:color w:val="000000"/>
          <w:sz w:val="22"/>
          <w:szCs w:val="22"/>
        </w:rPr>
        <w:t>.</w:t>
      </w:r>
      <w:r>
        <w:rPr>
          <w:rFonts w:cs="Arial" w:ascii="Arial" w:hAnsi="Arial"/>
          <w:sz w:val="22"/>
          <w:szCs w:val="22"/>
        </w:rPr>
        <w:t xml:space="preserve"> Bieg terminu związania ofertą rozpoczyna się wraz z upływem terminu składania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 xml:space="preserve">Ofertę należy złożyć w terminie do dnia </w:t>
      </w:r>
      <w:r>
        <w:rPr>
          <w:rFonts w:cs="Arial" w:ascii="Arial" w:hAnsi="Arial"/>
          <w:b/>
          <w:bCs/>
          <w:color w:val="000000"/>
          <w:sz w:val="22"/>
          <w:szCs w:val="22"/>
        </w:rPr>
        <w:t xml:space="preserve">26.06.2025 r. do godziny 09:00.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Otwarcie ofert nastąpi w</w:t>
      </w:r>
      <w:r>
        <w:rPr>
          <w:rFonts w:cs="Arial" w:ascii="Arial" w:hAnsi="Arial"/>
          <w:b/>
          <w:bCs/>
          <w:color w:val="000000"/>
          <w:sz w:val="22"/>
          <w:szCs w:val="22"/>
        </w:rPr>
        <w:t xml:space="preserve"> 26.06.2025 r. o godzinie 09:05.</w:t>
      </w:r>
    </w:p>
    <w:p>
      <w:pPr>
        <w:pStyle w:val="ListParagraph"/>
        <w:numPr>
          <w:ilvl w:val="1"/>
          <w:numId w:val="12"/>
        </w:numPr>
        <w:spacing w:lineRule="auto" w:line="360"/>
        <w:ind w:hanging="426" w:left="426"/>
        <w:jc w:val="both"/>
        <w:rPr>
          <w:rStyle w:val="InternetLink"/>
          <w:rFonts w:ascii="Arial" w:hAnsi="Arial" w:cs="Arial"/>
          <w:b/>
          <w:bCs/>
          <w:color w:val="auto"/>
          <w:sz w:val="22"/>
          <w:szCs w:val="22"/>
          <w:u w:val="none"/>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cs="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cs="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426"/>
        <w:jc w:val="both"/>
        <w:rPr>
          <w:rFonts w:ascii="Arial" w:hAnsi="Arial" w:cs="Arial"/>
          <w:b/>
          <w:bCs/>
          <w:sz w:val="22"/>
          <w:szCs w:val="22"/>
        </w:rPr>
      </w:pPr>
      <w:r>
        <w:rPr>
          <w:rFonts w:cs="Arial" w:ascii="Arial" w:hAnsi="Arial"/>
          <w:b/>
          <w:bCs/>
          <w:sz w:val="22"/>
          <w:szCs w:val="22"/>
        </w:rPr>
        <w:t>Kryterium: Cena – waga kryterium 100%</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ind w:left="454"/>
        <w:jc w:val="both"/>
        <w:rPr>
          <w:rFonts w:ascii="Arial" w:hAnsi="Arial" w:cs="Arial"/>
          <w:b/>
          <w:bCs/>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Powyżej wskazane kryteria dotyczą części nr 1 i 2.</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Zasady oceny ofert w Kryterium „</w:t>
      </w:r>
      <w:r>
        <w:rPr>
          <w:rFonts w:cs="Arial" w:ascii="Arial" w:hAnsi="Arial"/>
          <w:b/>
          <w:bCs/>
          <w:sz w:val="22"/>
          <w:szCs w:val="22"/>
        </w:rPr>
        <w:t>Cena</w:t>
      </w:r>
      <w:r>
        <w:rPr>
          <w:rFonts w:cs="Arial" w:ascii="Arial" w:hAnsi="Arial"/>
          <w:sz w:val="22"/>
          <w:szCs w:val="22"/>
        </w:rPr>
        <w:t xml:space="preserve">” będzie rozpatrywane na podstawie ceny brutto za wykonanie przedmiotu zamówienia, podanej przez wykonawcę w formularzu ofertowym. Zamawiający ofercie o najniższej cenie przyzna </w:t>
      </w:r>
      <w:r>
        <w:rPr>
          <w:rFonts w:cs="Arial" w:ascii="Arial" w:hAnsi="Arial"/>
          <w:b/>
          <w:bCs/>
          <w:sz w:val="22"/>
          <w:szCs w:val="22"/>
        </w:rPr>
        <w:t>100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jc w:val="center"/>
        <w:rPr>
          <w:rFonts w:ascii="Arial" w:hAnsi="Arial" w:cs="Arial"/>
        </w:rPr>
      </w:pPr>
      <w:bookmarkStart w:id="4"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bookmarkEnd w:id="4"/>
    </w:p>
    <w:p>
      <w:pPr>
        <w:pStyle w:val="Normal"/>
        <w:spacing w:lineRule="auto" w:line="360"/>
        <w:ind w:left="426"/>
        <w:jc w:val="both"/>
        <w:rPr>
          <w:rFonts w:ascii="Arial" w:hAnsi="Arial" w:cs="Arial"/>
          <w:b/>
          <w:bCs/>
          <w:sz w:val="22"/>
          <w:szCs w:val="22"/>
        </w:rPr>
      </w:pPr>
      <w:r>
        <w:rPr>
          <w:rFonts w:cs="Arial" w:ascii="Arial" w:hAnsi="Arial"/>
          <w:sz w:val="22"/>
          <w:szCs w:val="22"/>
        </w:rPr>
        <w:t>gdzie:</w:t>
      </w:r>
    </w:p>
    <w:p>
      <w:pPr>
        <w:pStyle w:val="Normal"/>
        <w:spacing w:lineRule="auto" w:line="360"/>
        <w:ind w:left="426"/>
        <w:rPr>
          <w:rFonts w:ascii="Arial" w:hAnsi="Arial" w:cs="Arial"/>
          <w:b/>
          <w:bCs/>
          <w:sz w:val="22"/>
          <w:szCs w:val="22"/>
        </w:rPr>
      </w:pPr>
      <w:r>
        <w:rPr>
          <w:rFonts w:cs="Arial" w:ascii="Arial" w:hAnsi="Arial"/>
          <w:sz w:val="22"/>
          <w:szCs w:val="22"/>
        </w:rPr>
        <w:t>C – ilość punktów oferty badanej w kryterium cena</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426"/>
        <w:jc w:val="both"/>
        <w:rPr>
          <w:rFonts w:ascii="Arial" w:hAnsi="Arial" w:cs="Arial"/>
          <w:b/>
          <w:bCs/>
          <w:i/>
          <w:i/>
          <w:iCs/>
          <w:sz w:val="22"/>
          <w:szCs w:val="22"/>
        </w:rPr>
      </w:pPr>
      <w:r>
        <w:rPr>
          <w:rFonts w:cs="Arial" w:ascii="Arial" w:hAnsi="Arial"/>
          <w:b/>
          <w:bCs/>
          <w:i/>
          <w:iCs/>
          <w:sz w:val="22"/>
          <w:szCs w:val="22"/>
        </w:rPr>
      </w:r>
    </w:p>
    <w:p>
      <w:pPr>
        <w:pStyle w:val="Normal"/>
        <w:numPr>
          <w:ilvl w:val="1"/>
          <w:numId w:val="12"/>
        </w:numPr>
        <w:spacing w:lineRule="auto" w:line="360"/>
        <w:ind w:hanging="426" w:left="426"/>
        <w:jc w:val="both"/>
        <w:rPr/>
      </w:pPr>
      <w:r>
        <w:rPr>
          <w:rFonts w:cs="Arial" w:ascii="Arial" w:hAnsi="Arial"/>
          <w:sz w:val="22"/>
          <w:szCs w:val="22"/>
        </w:rPr>
        <w:t>Zamawiający dokona oceny ofert i wyboru najkorzystniejszej oferty jedynie spośród ofert niepodlegających odrzuceniu.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pPr>
      <w:r>
        <w:rPr>
          <w:rFonts w:cs="Arial" w:ascii="Arial" w:hAnsi="Arial"/>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poinformuje wykonawcę, któremu zostanie udzielone zamówienie, o miejscu i terminie zawarcia umowy.</w:t>
      </w:r>
      <w:bookmarkStart w:id="5" w:name="_Toc42045493"/>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5"/>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przysługuje na:</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w terminie:</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cs="Arial"/>
          <w:b/>
          <w:bCs/>
        </w:rPr>
      </w:pPr>
      <w:r>
        <w:rPr>
          <w:rFonts w:cs="Arial" w:ascii="Arial" w:hAnsi="Arial"/>
          <w:b/>
          <w:bCs/>
        </w:rPr>
        <w:t xml:space="preserve"> </w:t>
      </w:r>
      <w:r>
        <w:rPr>
          <w:rFonts w:cs="Arial" w:ascii="Arial" w:hAnsi="Arial"/>
          <w:b/>
          <w:bCs/>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Klauzula RODO</w:t>
      </w:r>
    </w:p>
    <w:p>
      <w:pPr>
        <w:pStyle w:val="Normal"/>
        <w:widowControl w:val="false"/>
        <w:spacing w:lineRule="auto" w:line="360"/>
        <w:jc w:val="both"/>
        <w:rPr>
          <w:rFonts w:ascii="Arial" w:hAnsi="Arial" w:eastAsia="HG Mincho Light J" w:cs="Arial"/>
          <w:color w:val="000000"/>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Administratorem danych osobowych jest Szpital Powiatowy im. Jana Pawła II w Trzciance . Z administratorem można się skontaktować poprzez adres email: </w:t>
      </w:r>
      <w:hyperlink r:id="rId10">
        <w:r>
          <w:rPr>
            <w:rStyle w:val="Hyperlink"/>
            <w:rFonts w:eastAsia="Calibri" w:cs="Arial" w:ascii="Arial" w:hAnsi="Arial"/>
            <w:color w:val="000000"/>
            <w:sz w:val="22"/>
            <w:szCs w:val="22"/>
          </w:rPr>
          <w:t>kancelaria@szpital-trzcianka.pl</w:t>
        </w:r>
      </w:hyperlink>
      <w:r>
        <w:rPr>
          <w:rFonts w:eastAsia="Calibri" w:cs="Arial" w:ascii="Arial" w:hAnsi="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B0F0"/>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cs="Arial"/>
          <w:b/>
          <w:bCs/>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Załącznik nr 1 – Formularz Ofertowy</w:t>
      </w:r>
    </w:p>
    <w:p>
      <w:pPr>
        <w:pStyle w:val="Normal"/>
        <w:spacing w:lineRule="auto" w:line="360"/>
        <w:jc w:val="both"/>
        <w:rPr>
          <w:rFonts w:ascii="Arial" w:hAnsi="Arial" w:cs="Arial"/>
          <w:sz w:val="22"/>
          <w:szCs w:val="22"/>
        </w:rPr>
      </w:pPr>
      <w:r>
        <w:rPr>
          <w:rFonts w:cs="Arial" w:ascii="Arial" w:hAnsi="Arial"/>
          <w:sz w:val="22"/>
          <w:szCs w:val="22"/>
        </w:rPr>
        <w:t>Załącznik nr 2 – Formularz asortymentowo-cenowy /Opis przedmiotu zamówienia część 1, część 2</w:t>
      </w:r>
    </w:p>
    <w:p>
      <w:pPr>
        <w:pStyle w:val="Normal"/>
        <w:spacing w:lineRule="auto" w:line="360"/>
        <w:jc w:val="both"/>
        <w:rPr>
          <w:rFonts w:ascii="Arial" w:hAnsi="Arial" w:cs="Arial"/>
          <w:sz w:val="22"/>
          <w:szCs w:val="22"/>
        </w:rPr>
      </w:pPr>
      <w:r>
        <w:rPr>
          <w:rFonts w:cs="Arial" w:ascii="Arial" w:hAnsi="Arial"/>
          <w:sz w:val="22"/>
          <w:szCs w:val="22"/>
        </w:rPr>
        <w:t>Załącznik nr 3 - Oświadczenie o spełnianiu warunków udziału w postępowaniu</w:t>
      </w:r>
    </w:p>
    <w:p>
      <w:pPr>
        <w:pStyle w:val="Normal"/>
        <w:spacing w:lineRule="auto" w:line="360"/>
        <w:jc w:val="both"/>
        <w:rPr>
          <w:rFonts w:ascii="Arial" w:hAnsi="Arial" w:cs="Arial"/>
          <w:sz w:val="22"/>
          <w:szCs w:val="22"/>
        </w:rPr>
      </w:pPr>
      <w:r>
        <w:rPr>
          <w:rFonts w:cs="Arial" w:ascii="Arial" w:hAnsi="Arial"/>
          <w:sz w:val="22"/>
          <w:szCs w:val="22"/>
        </w:rPr>
        <w:t>Załącznik nr 4 – Oświadczenie o braku podstaw do wykluczenia</w:t>
      </w:r>
    </w:p>
    <w:p>
      <w:pPr>
        <w:pStyle w:val="Normal"/>
        <w:spacing w:lineRule="auto" w:line="360"/>
        <w:jc w:val="both"/>
        <w:rPr>
          <w:rFonts w:ascii="Arial" w:hAnsi="Arial" w:cs="Arial"/>
          <w:sz w:val="22"/>
          <w:szCs w:val="22"/>
        </w:rPr>
      </w:pPr>
      <w:r>
        <w:rPr>
          <w:rFonts w:cs="Arial" w:ascii="Arial" w:hAnsi="Arial"/>
          <w:sz w:val="22"/>
          <w:szCs w:val="22"/>
        </w:rPr>
        <w:t>Załącznik nr 5 – Wzór umowy</w:t>
      </w:r>
    </w:p>
    <w:p>
      <w:pPr>
        <w:pStyle w:val="Normal"/>
        <w:spacing w:lineRule="auto" w:line="360"/>
        <w:jc w:val="both"/>
        <w:rPr>
          <w:rFonts w:ascii="Arial" w:hAnsi="Arial" w:cs="Arial"/>
          <w:sz w:val="22"/>
          <w:szCs w:val="22"/>
        </w:rPr>
      </w:pPr>
      <w:r>
        <w:rPr>
          <w:rFonts w:cs="Arial" w:ascii="Arial" w:hAnsi="Arial"/>
          <w:sz w:val="22"/>
          <w:szCs w:val="22"/>
        </w:rPr>
        <w:t>Załącznik nr 6 –  Zobowiązanie podmiotu trzeciego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rPr>
      </w:pPr>
      <w:r>
        <w:rPr>
          <w:rFonts w:cs="Arial" w:ascii="Arial" w:hAnsi="Arial"/>
        </w:rPr>
      </w:r>
    </w:p>
    <w:p>
      <w:pPr>
        <w:pStyle w:val="Normal"/>
        <w:spacing w:lineRule="auto" w:line="360"/>
        <w:rPr>
          <w:rFonts w:ascii="Arial" w:hAnsi="Arial" w:cs="Arial"/>
          <w:b/>
          <w:bCs/>
          <w:i/>
          <w:i/>
          <w:iCs/>
          <w:sz w:val="22"/>
          <w:szCs w:val="22"/>
        </w:rPr>
      </w:pPr>
      <w:r>
        <w:rPr>
          <w:rFonts w:cs="Arial" w:ascii="Arial" w:hAnsi="Arial"/>
          <w:b/>
          <w:bCs/>
          <w:i/>
          <w:iCs/>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Segoe U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rFonts w:ascii="Cambria Math" w:hAnsi="Cambria Math"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customStyle="1">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name w:val="Footnote Characters11111"/>
    <w:qFormat/>
    <w:rPr>
      <w:sz w:val="20"/>
      <w:vertAlign w:val="superscript"/>
    </w:rPr>
  </w:style>
  <w:style w:type="character" w:styleId="FootnoteCharacters11111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qFormat/>
    <w:rPr>
      <w:sz w:val="20"/>
      <w:vertAlign w:val="superscript"/>
    </w:rPr>
  </w:style>
  <w:style w:type="character" w:styleId="FootnoteCharacters111111111111" w:customStyle="1">
    <w:name w:val="Footnote Characters111111111111"/>
    <w:qFormat/>
    <w:rPr>
      <w:sz w:val="20"/>
      <w:vertAlign w:val="superscript"/>
    </w:rPr>
  </w:style>
  <w:style w:type="character" w:styleId="FootnoteCharacters1111111111111" w:customStyle="1">
    <w:name w:val="Footnote Characters1111111111111"/>
    <w:qFormat/>
    <w:rPr>
      <w:sz w:val="20"/>
      <w:vertAlign w:val="superscript"/>
    </w:rPr>
  </w:style>
  <w:style w:type="character" w:styleId="FootnoteCharacters11111111111111" w:customStyle="1">
    <w:name w:val="Footnote Characters11111111111111"/>
    <w:qFormat/>
    <w:rPr>
      <w:sz w:val="20"/>
      <w:vertAlign w:val="superscript"/>
    </w:rPr>
  </w:style>
  <w:style w:type="character" w:styleId="FootnoteCharacters111111111111111" w:customStyle="1">
    <w:name w:val="Footnote Characters111111111111111"/>
    <w:qFormat/>
    <w:rPr>
      <w:sz w:val="20"/>
      <w:vertAlign w:val="superscript"/>
    </w:rPr>
  </w:style>
  <w:style w:type="character" w:styleId="FootnoteCharacters1111111111111111" w:customStyle="1">
    <w:name w:val="Footnote Characters1111111111111111"/>
    <w:qFormat/>
    <w:rPr>
      <w:sz w:val="20"/>
      <w:vertAlign w:val="superscript"/>
    </w:rPr>
  </w:style>
  <w:style w:type="character" w:styleId="FootnoteCharacters11111111111111111" w:customStyle="1">
    <w:name w:val="Footnote Characters11111111111111111"/>
    <w:qFormat/>
    <w:rPr>
      <w:sz w:val="20"/>
      <w:vertAlign w:val="superscript"/>
    </w:rPr>
  </w:style>
  <w:style w:type="character" w:styleId="FootnoteCharacters111111111111111111" w:customStyle="1">
    <w:name w:val="Footnote Characters111111111111111111"/>
    <w:qFormat/>
    <w:rPr>
      <w:sz w:val="20"/>
      <w:vertAlign w:val="superscript"/>
    </w:rPr>
  </w:style>
  <w:style w:type="character" w:styleId="FootnoteCharacters1111111111111111111" w:customStyle="1">
    <w:name w:val="Footnote Characters1111111111111111111"/>
    <w:qFormat/>
    <w:rPr>
      <w:sz w:val="20"/>
      <w:vertAlign w:val="superscript"/>
    </w:rPr>
  </w:style>
  <w:style w:type="character" w:styleId="FootnoteCharacters11111111111111111111" w:customStyle="1">
    <w:name w:val="Footnote Characters11111111111111111111"/>
    <w:qFormat/>
    <w:rPr>
      <w:sz w:val="20"/>
      <w:vertAlign w:val="superscript"/>
    </w:rPr>
  </w:style>
  <w:style w:type="character" w:styleId="FootnoteCharacters111111111111111111111" w:customStyle="1">
    <w:name w:val="Footnote Characters111111111111111111111"/>
    <w:qFormat/>
    <w:rPr>
      <w:sz w:val="20"/>
      <w:vertAlign w:val="superscript"/>
    </w:rPr>
  </w:style>
  <w:style w:type="character" w:styleId="FootnoteCharacters1111111111111111111111" w:customStyle="1">
    <w:name w:val="Footnote Characters1111111111111111111111"/>
    <w:qFormat/>
    <w:rPr>
      <w:sz w:val="20"/>
      <w:vertAlign w:val="superscript"/>
    </w:rPr>
  </w:style>
  <w:style w:type="character" w:styleId="FootnoteCharacters11111111111111111111111" w:customStyle="1">
    <w:name w:val="Footnote Characters11111111111111111111111"/>
    <w:uiPriority w:val="99"/>
    <w:qFormat/>
    <w:rsid w:val="00e37f70"/>
    <w:rPr>
      <w:sz w:val="20"/>
      <w:vertAlign w:val="superscript"/>
    </w:rPr>
  </w:style>
  <w:style w:type="character" w:styleId="PageNumber">
    <w:name w:val="Page Number"/>
    <w:basedOn w:val="DefaultParagraphFont"/>
    <w:qForma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11" w:customStyle="1">
    <w:name w:val="Internet Link11"/>
    <w:qFormat/>
    <w:rPr>
      <w:color w:val="000080"/>
      <w:u w:val="single"/>
    </w:rPr>
  </w:style>
  <w:style w:type="character" w:styleId="InternetLink10" w:customStyle="1">
    <w:name w:val="Internet Link10"/>
    <w:qFormat/>
    <w:rPr>
      <w:color w:val="000080"/>
      <w:u w:val="single"/>
    </w:rPr>
  </w:style>
  <w:style w:type="character" w:styleId="InternetLink9" w:customStyle="1">
    <w:name w:val="Internet Link9"/>
    <w:qFormat/>
    <w:rPr>
      <w:color w:val="000080"/>
      <w:u w:val="single"/>
    </w:rPr>
  </w:style>
  <w:style w:type="character" w:styleId="LineNumbering1" w:customStyle="1">
    <w:name w:val="Line Numbering1"/>
    <w:qFormat/>
    <w:rPr/>
  </w:style>
  <w:style w:type="character" w:styleId="InternetLink8" w:customStyle="1">
    <w:name w:val="Internet Link8"/>
    <w:qFormat/>
    <w:rPr>
      <w:color w:val="000080"/>
      <w:u w:val="single"/>
    </w:rPr>
  </w:style>
  <w:style w:type="character" w:styleId="LineNumbering" w:customStyle="1">
    <w:name w:val="Line Numbering"/>
    <w:qFormat/>
    <w:rPr/>
  </w:style>
  <w:style w:type="character" w:styleId="InternetLink7" w:customStyle="1">
    <w:name w:val="Internet Link7"/>
    <w:qFormat/>
    <w:rPr>
      <w:color w:val="000080"/>
      <w:u w:val="single"/>
    </w:rPr>
  </w:style>
  <w:style w:type="character" w:styleId="InternetLink6" w:customStyle="1">
    <w:name w:val="Internet Link6"/>
    <w:qFormat/>
    <w:rPr>
      <w:color w:val="000080"/>
      <w:u w:val="single"/>
    </w:rPr>
  </w:style>
  <w:style w:type="character" w:styleId="InternetLink5" w:customStyle="1">
    <w:name w:val="Internet Link5"/>
    <w:qFormat/>
    <w:rPr>
      <w:color w:val="000080"/>
      <w:u w:val="single"/>
    </w:rPr>
  </w:style>
  <w:style w:type="character" w:styleId="InternetLink4" w:customStyle="1">
    <w:name w:val="Internet Link4"/>
    <w:qFormat/>
    <w:rPr>
      <w:color w:val="000080"/>
      <w:u w:val="single"/>
    </w:rPr>
  </w:style>
  <w:style w:type="character" w:styleId="InternetLink31" w:customStyle="1">
    <w:name w:val="Internet Link31"/>
    <w:qFormat/>
    <w:rPr>
      <w:color w:val="000080"/>
      <w:u w:val="single"/>
    </w:rPr>
  </w:style>
  <w:style w:type="character" w:styleId="InternetLink21" w:customStyle="1">
    <w:name w:val="Internet Link21"/>
    <w:qFormat/>
    <w:rPr>
      <w:color w:val="000080"/>
      <w:u w:val="single"/>
    </w:rPr>
  </w:style>
  <w:style w:type="character" w:styleId="EndnoteCharacters111111111111111111111111" w:customStyle="1">
    <w:name w:val="Endnote Characters111111111111111111111111"/>
    <w:qFormat/>
    <w:rPr>
      <w:vertAlign w:val="superscript"/>
    </w:rPr>
  </w:style>
  <w:style w:type="character" w:styleId="EndnoteCharacters11111111112" w:customStyle="1">
    <w:name w:val="Endnote Characters11111111112"/>
    <w:qFormat/>
    <w:rPr>
      <w:vertAlign w:val="superscript"/>
    </w:rPr>
  </w:style>
  <w:style w:type="character" w:styleId="EndnoteCharacters1111111112" w:customStyle="1">
    <w:name w:val="Endnote Characters1111111112"/>
    <w:qFormat/>
    <w:rPr>
      <w:vertAlign w:val="superscript"/>
    </w:rPr>
  </w:style>
  <w:style w:type="character" w:styleId="EndnoteCharacters111111112" w:customStyle="1">
    <w:name w:val="Endnote Characters111111112"/>
    <w:qFormat/>
    <w:rPr>
      <w:vertAlign w:val="superscript"/>
    </w:rPr>
  </w:style>
  <w:style w:type="character" w:styleId="EndnoteCharacters11111112" w:customStyle="1">
    <w:name w:val="Endnote Characters11111112"/>
    <w:qFormat/>
    <w:rPr>
      <w:vertAlign w:val="superscript"/>
    </w:rPr>
  </w:style>
  <w:style w:type="character" w:styleId="EndnoteCharacters1111112" w:customStyle="1">
    <w:name w:val="Endnote Characters1111112"/>
    <w:qFormat/>
    <w:rPr>
      <w:vertAlign w:val="superscript"/>
    </w:rPr>
  </w:style>
  <w:style w:type="character" w:styleId="EndnoteCharacters111112" w:customStyle="1">
    <w:name w:val="Endnote Characters111112"/>
    <w:qFormat/>
    <w:rPr>
      <w:vertAlign w:val="superscript"/>
    </w:rPr>
  </w:style>
  <w:style w:type="character" w:styleId="EndnoteCharacters11112" w:customStyle="1">
    <w:name w:val="Endnote Characters11112"/>
    <w:qFormat/>
    <w:rPr>
      <w:vertAlign w:val="superscript"/>
    </w:rPr>
  </w:style>
  <w:style w:type="character" w:styleId="EndnoteCharacters1112" w:customStyle="1">
    <w:name w:val="Endnote Characters1112"/>
    <w:qFormat/>
    <w:rPr>
      <w:vertAlign w:val="superscript"/>
    </w:rPr>
  </w:style>
  <w:style w:type="character" w:styleId="EndnoteCharacters112" w:customStyle="1">
    <w:name w:val="Endnote Characters112"/>
    <w:qFormat/>
    <w:rPr>
      <w:vertAlign w:val="superscript"/>
    </w:rPr>
  </w:style>
  <w:style w:type="character" w:styleId="FootnoteCharacters111111111111111111111111" w:customStyle="1">
    <w:name w:val="Footnote Characters111111111111111111111111"/>
    <w:qFormat/>
    <w:rPr>
      <w:sz w:val="20"/>
      <w:vertAlign w:val="superscript"/>
    </w:rPr>
  </w:style>
  <w:style w:type="character" w:styleId="FootnoteCharacters11111111112" w:customStyle="1">
    <w:name w:val="Footnote Characters11111111112"/>
    <w:qFormat/>
    <w:rPr>
      <w:sz w:val="20"/>
      <w:vertAlign w:val="superscript"/>
    </w:rPr>
  </w:style>
  <w:style w:type="character" w:styleId="FootnoteCharacters1111111112" w:customStyle="1">
    <w:name w:val="Footnote Characters1111111112"/>
    <w:qFormat/>
    <w:rPr>
      <w:sz w:val="20"/>
      <w:vertAlign w:val="superscript"/>
    </w:rPr>
  </w:style>
  <w:style w:type="character" w:styleId="FootnoteCharacters111111112" w:customStyle="1">
    <w:name w:val="Footnote Characters111111112"/>
    <w:qFormat/>
    <w:rPr>
      <w:sz w:val="20"/>
      <w:vertAlign w:val="superscript"/>
    </w:rPr>
  </w:style>
  <w:style w:type="character" w:styleId="FootnoteCharacters11111112" w:customStyle="1">
    <w:name w:val="Footnote Characters11111112"/>
    <w:qFormat/>
    <w:rPr>
      <w:sz w:val="20"/>
      <w:vertAlign w:val="superscript"/>
    </w:rPr>
  </w:style>
  <w:style w:type="character" w:styleId="FootnoteCharacters1111112" w:customStyle="1">
    <w:name w:val="Footnote Characters1111112"/>
    <w:qFormat/>
    <w:rPr>
      <w:sz w:val="20"/>
      <w:vertAlign w:val="superscript"/>
    </w:rPr>
  </w:style>
  <w:style w:type="character" w:styleId="FootnoteCharacters111112" w:customStyle="1">
    <w:name w:val="Footnote Characters111112"/>
    <w:qFormat/>
    <w:rPr>
      <w:sz w:val="20"/>
      <w:vertAlign w:val="superscript"/>
    </w:rPr>
  </w:style>
  <w:style w:type="character" w:styleId="FootnoteCharacters11112" w:customStyle="1">
    <w:name w:val="Footnote Characters11112"/>
    <w:qFormat/>
    <w:rPr>
      <w:sz w:val="20"/>
      <w:vertAlign w:val="superscript"/>
    </w:rPr>
  </w:style>
  <w:style w:type="character" w:styleId="FootnoteCharacters1112" w:customStyle="1">
    <w:name w:val="Footnote Characters1112"/>
    <w:qFormat/>
    <w:rPr>
      <w:sz w:val="20"/>
      <w:vertAlign w:val="superscript"/>
    </w:rPr>
  </w:style>
  <w:style w:type="character" w:styleId="FootnoteCharacters112" w:customStyle="1">
    <w:name w:val="Footnote Characters112"/>
    <w:qFormat/>
    <w:rPr>
      <w:sz w:val="20"/>
      <w:vertAlign w:val="superscript"/>
    </w:rPr>
  </w:style>
  <w:style w:type="character" w:styleId="InternetLink12" w:customStyle="1">
    <w:name w:val="Internet Link12"/>
    <w:qFormat/>
    <w:rPr>
      <w:color w:val="000080"/>
      <w:u w:val="single"/>
    </w:rPr>
  </w:style>
  <w:style w:type="character" w:styleId="Znakinumeracji" w:customStyle="1">
    <w:name w:val="Znaki numeracji"/>
    <w:qFormat/>
    <w:rPr/>
  </w:style>
  <w:style w:type="character" w:styleId="InternetLink13" w:customStyle="1">
    <w:name w:val="Internet Link13"/>
    <w:qFormat/>
    <w:rPr>
      <w:color w:val="000080"/>
      <w:u w:val="single"/>
    </w:rPr>
  </w:style>
  <w:style w:type="character" w:styleId="LineNumbering2" w:customStyle="1">
    <w:name w:val="Line Numbering2"/>
    <w:qFormat/>
    <w:rPr/>
  </w:style>
  <w:style w:type="character" w:styleId="InternetLink14" w:customStyle="1">
    <w:name w:val="Internet Link14"/>
    <w:qFormat/>
    <w:rPr>
      <w:color w:val="000080"/>
      <w:u w:val="single"/>
    </w:rPr>
  </w:style>
  <w:style w:type="character" w:styleId="LineNumbering3" w:customStyle="1">
    <w:name w:val="Line Numbering3"/>
    <w:qFormat/>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LineNumbering4" w:customStyle="1">
    <w:name w:val="Line Numbering4"/>
    <w:qFormat/>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name w:val="Internet Link26"/>
    <w:qFormat/>
    <w:rPr>
      <w:color w:val="000080"/>
      <w:u w:val="single"/>
    </w:rPr>
  </w:style>
  <w:style w:type="character" w:styleId="InternetLink27">
    <w:name w:val="Internet Link27"/>
    <w:qFormat/>
    <w:rPr>
      <w:color w:val="000080"/>
      <w:u w:val="single"/>
    </w:rPr>
  </w:style>
  <w:style w:type="character" w:styleId="LineNumbering5">
    <w:name w:val="Line Numbering5"/>
    <w:qFormat/>
    <w:rPr/>
  </w:style>
  <w:style w:type="character" w:styleId="InternetLink28">
    <w:name w:val="Internet Link28"/>
    <w:qFormat/>
    <w:rPr>
      <w:color w:val="000080"/>
      <w:u w:val="single"/>
    </w:rPr>
  </w:style>
  <w:style w:type="character" w:styleId="LineNumbering6">
    <w:name w:val="Line Numbering6"/>
    <w:qFormat/>
    <w:rPr/>
  </w:style>
  <w:style w:type="character" w:styleId="InternetLink29">
    <w:name w:val="Internet Link29"/>
    <w:qFormat/>
    <w:rPr>
      <w:color w:val="000080"/>
      <w:u w:val="single"/>
    </w:rPr>
  </w:style>
  <w:style w:type="character" w:styleId="InternetLink30">
    <w:name w:val="Internet Link30"/>
    <w:qFormat/>
    <w:rPr>
      <w:color w:val="000080"/>
      <w:u w:val="single"/>
    </w:rPr>
  </w:style>
  <w:style w:type="character" w:styleId="InternetLink32">
    <w:name w:val="Internet Link32"/>
    <w:qFormat/>
    <w:rPr>
      <w:color w:val="000080"/>
      <w:u w:val="single"/>
    </w:rPr>
  </w:style>
  <w:style w:type="character" w:styleId="InternetLink33">
    <w:name w:val="Internet Link33"/>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qFormat/>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Bullet3">
    <w:name w:val="List Bullet 3"/>
    <w:basedOn w:val="Normal"/>
    <w:autoRedefine/>
    <w:qFormat/>
    <w:rsid w:val="00e37f70"/>
    <w:pPr>
      <w:numPr>
        <w:ilvl w:val="0"/>
        <w:numId w:val="5"/>
      </w:numPr>
    </w:pPr>
    <w:rPr/>
  </w:style>
  <w:style w:type="paragraph" w:styleId="ListBullet">
    <w:name w:val="List Bullet"/>
    <w:basedOn w:val="Normal"/>
    <w:autoRedefine/>
    <w:qFormat/>
    <w:rsid w:val="00e37f70"/>
    <w:pPr>
      <w:numPr>
        <w:ilvl w:val="0"/>
        <w:numId w:val="3"/>
      </w:numPr>
    </w:pPr>
    <w:rPr/>
  </w:style>
  <w:style w:type="paragraph" w:styleId="ListBullet2">
    <w:name w:val="List Bullet 2"/>
    <w:basedOn w:val="Normal"/>
    <w:autoRedefine/>
    <w:qFormat/>
    <w:rsid w:val="00e37f70"/>
    <w:pPr>
      <w:numPr>
        <w:ilvl w:val="0"/>
        <w:numId w:val="4"/>
      </w:numPr>
    </w:pPr>
    <w:rPr/>
  </w:style>
  <w:style w:type="paragraph" w:styleId="ListContinue">
    <w:name w:val="List Continue"/>
    <w:basedOn w:val="Normal"/>
    <w:qFormat/>
    <w:rsid w:val="00e37f70"/>
    <w:pPr>
      <w:spacing w:before="0" w:after="120"/>
      <w:ind w:left="283"/>
    </w:pPr>
    <w:rPr/>
  </w:style>
  <w:style w:type="paragraph" w:styleId="ListContinue2">
    <w:name w:val="List Continue 2"/>
    <w:basedOn w:val="Normal"/>
    <w:qFormat/>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qFormat/>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yperlink" Target="mailto:kancelaria@szpital-trzcianka.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Application>LibreOffice/24.2.5.2$Windows_X86_64 LibreOffice_project/bffef4ea93e59bebbeaf7f431bb02b1a39ee8a59</Application>
  <AppVersion>15.0000</AppVersion>
  <Pages>27</Pages>
  <Words>7627</Words>
  <Characters>49572</Characters>
  <CharactersWithSpaces>56958</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2025-04-30T12:13:00Z</dcterms:created>
  <dc:creator>terlega@wanir.edu.pl</dc:creator>
  <dc:description/>
  <dc:language>pl-PL</dc:language>
  <cp:lastModifiedBy/>
  <cp:lastPrinted>2024-08-19T10:14:00Z</cp:lastPrinted>
  <dcterms:modified xsi:type="dcterms:W3CDTF">2025-06-18T12:04:15Z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