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bookmarkEnd w:id="0"/>
      <w:r>
        <w:rPr>
          <w:rFonts w:cs="Arial" w:ascii="Arial" w:hAnsi="Arial"/>
          <w:sz w:val="22"/>
          <w:szCs w:val="22"/>
        </w:rPr>
        <w:t>Załącznik nr 8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Zakup i dostawa aparatu EKG – 3 szt., lampy sufitowej zabiegowej i lampy zabiegowej mobilnej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LibreOffice/24.2.5.2$Windows_X86_64 LibreOffice_project/bffef4ea93e59bebbeaf7f431bb02b1a39ee8a59</Application>
  <AppVersion>15.0000</AppVersion>
  <Pages>2</Pages>
  <Words>206</Words>
  <Characters>2299</Characters>
  <CharactersWithSpaces>2486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2025-03-17T11:50:09Z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